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реестра требований кредиторов должника (далее – реестр) требования Федянина Анатолия Васильевича (далее – кредитор) в размере 2 861 753 рублей 35 копеек, включённого в реестр определением Арбитражного суда Челябинской области от 13.10.2017. Определением Арбитражного суда Челябинской области от 01.06.2022, оставленным без изменения постановлениями Восемнадцатого арбитражного апелляционного суда от 03.08.2022 и Арбитражного суда Уральского округа от 20.10.2022,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статьёй 16 Федерального закона от 26.10.2002 № 127-ФЗ «О несостоятельности (банкротстве)», исходили из отсутствия оснований для исключения из реестра требования кредитора, задолженность перед которым не погашена. Выводы судов соответствуют нормам права, оснований для этих выводов не имеется. Существенных нарушений норм материального и (или) норм процессуального права, которые бы повлияли на исход переоценки судебного разбирательства,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Лопаковой Надежде Леонидовне, Лопакову Олегу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