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Постоянного судебного присутствия Арбитражного суда Пермского края в г. Кудымкаре от 30.03.2022, оставленным без изменения постановлением Семнадцатого арбитражного апелляционного суда от 05.08.2022 и постановлением Арбитражного суда Уральского округа от 07.11.2022, заявление удовлетворено. В кассационной жалобе Кремлева О.Д.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 в пользу заинтересованного лица (дочери) при наличии у должника денежных обязательств перед кредитором в качестве условий для недействительности дарения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Кремлевой Оксане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