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21.03.2022, оставленным без изменения постановлением Девятого арбитражного апелляционного суда от 17.06.2022 и постановлением Арбитражного суда Московского округа от 04.10.2022, заявление удовлетворено. В кассационной жалобе ФИО1 просит об отмене судебных актов, ссылаясь на несоответствие выводов судов о недействительности сделки фактическим обстоятельствам и пропуск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нарушение супругами пределов осуществления гражданских прав изменением статуса имущества, повлекшее вред кредиторам должника и недействительность брачного договора в силу статей 10 , 168 Гражданского кодекса Российской Федерации недействительность Срок исковой давности исчислен для подавшего заявление кредитора с момента его осведомленности о нарушении договором прав.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ФГБУ Филиал "ФКП Росреестра" по г. Москве (подробнее) Иные лица: Ассоциации Сибирская гильдия антикризисных управляющих (подробнее) Ассоциация "Сибирская Гильдия антикризисных управляющих" (подробнее) НП ОАУ СРО "Авангард" (подробнее) Росреестр (подробнее) САУ "Авангард" (подробнее) Судьи дела: Ксенофонтова Н.А. (судья)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