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12.05.2022, оставленным без изменения постановлением Первого арбитражного апелляционного суда от 26.07.2022 и постановлением Арбитражного суда Волго-Вятского округа от 07.10.2022,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перед обществом с ограниченной ответственностью «НБК» (кредитором). В кассационной жалобе Лобова Л.В. просит об отмене судебных актов, ссылаясь на несоответствие вывода судов о недобросовестном поведении должника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перед кредитором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управляющим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Лобовой Любови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