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заявителя жалобы выводы, изложенные в оспариваемых судебных актах, сформулированы по результатам полного и всестороннего 2 исследования юридически значимых обстоятельств дела и надлежащей оценки представленных доказательств. Изложенные в жалобе доводы ранее изучались судами и получили необходимую правовую оценку.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Омска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