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ПАО «Орскнефтеоргсинтез» обратилось в Арбитражный суд Челябинской области с иском, уточненным в порядке статьи 49 Арбитражного процессуального кодекса Российской Федерации, о взыскании с ОАО «Российские железные дороги» 187 280 рублей штрафа за нарушение срока уборки вагонов по договору от 18.05.2017 № 6/25. Решением Арбитражного суда Челябинской области от 30.03.2022 в удовлетворении иска отказано. Постановлением Восемнадцатого арбитражного апелляционного суда от 27.06.2022 решение суда первой инстанции оставлено без изменения. Арбитражный суд Уральского округа постановлением от 11.10.2022 указанные судебные акты оставил без изменения. ПАО «Орскнефтеоргсинтез»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недоказанным факт нарушения перевозчиком срока уборки вагонов, руководствуясь положениями статей 44, 100 Федерального закона от 10.01.2003 № 18-ФЗ «Устав железнодорожного транспорта Российской Федерации», пунктами 52, 53, 54, 55, 68 Правил приема грузов, порожних грузовых вагонов к перевозке железнодорожным транспортом, утвержденных приказом Минтранса России от 07.12.2016 № 374, суды пришли к выводу об отсутствии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