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06.05.2022, оставленным без изменения постановлением Второго арбитражного апелляционного суда от 13.07.2022 и постановлением Арбитражного суда Волго-Вятского округа от 10.11.2022,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