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08.04.2022. Определением Арбитражного суда Костромской области от 12.05.2022, оставленным без изменения постановлением Второго арбитражного апелляционного суда от 07.07.2022 и постановлением Арбитражного суда Волго-Вятского округа от 11.11.2022,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