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08.04.2022. Определением Арбитражного суда Костромской области от 12.05.2022, оставленным без изменения постановлением Второго арбитражного апелляционного суда от 14.07.2022 и постановлением Арбитражного суда Волго-Вятского округа от 11.11.2022,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