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Бондаренко Светланы Петровны в Арбитражный суд города Москвы обратился Бондаренко Г.П. с заявлением о включении требования в размере 900 000 рублей в реестр требований кредиторов должника. Определением Арбитражного суда города Москвы от 02.06.2022 в удовлетворении ходатайства Бондаренко Г.П. о восстановлении срока на предъявление требования для включения в реестр требований кредиторов должника отказано; в признании требования обоснованным отказано. Постановлением Девятого арбитражного апелляционного суда от 19.09.2022 определение суда первой инстанции оставлено без изменения. Арбитражный суд Московского округа постановлением от 29.11.2022 указанные судебные акты оставил без изменения. Бондаренко Г.П.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71, 100, 213.24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реальности спорных отношений. В частности, судами установлено, что платеж произведен заявителем в счет погашения собственных обязательств перед кредитором Ступаком М.В., действия супругов были направлены на формирование искусственной задолженности.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