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22.04.2022. Определением Арбитражного суда Костромской области от 20.05.2022, оставленным без изменения постановлением Второго арбитражного апелляционного суда от 14.07.2022 и постановлением Арбитражного суда Волго-Вятского округа от 11.11.2022,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