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 от 15.03.2022. Определением Арбитражного суда Костромской области от 06.05.2022, оставленным без изменения постановлением Второго арбитражного апелляционного суда от 06.07.2022 и постановлением Арбитражного суда Волго-Вятского округа от 10.11.2022,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