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Саратовской области от 30.06.2022, оставленным без изменения постановлениями Двенадцатого арбитражного апелляционного суда от 15.09.2022 и Арбитражного суда Поволжского округа от 22.11.2022, завершена процедура реализации имущества должника, в его отношении применены правила об освобождении от дальнейшего исполнения требований кредиторов, в том числе требований кредиторов, не заявленных при введении реализации имущества. В кассационной жалобе, поданной в Верховный Суд Российской Федерации, заявитель просит отменить названные судебные акты и отказать в удовлетворении ходатайства финансового управляющего имуществом должника о завершении процедуры реализации имущества.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Федерального закона от 26.10.2002 № 127-ФЗ «О несостоятельности (банкротстве)», исходили из выполнения всех необходимых мероприятий в рамках процедуры банкротства, отсутствия у должника средств для погашения требований кредиторов и нецелесообразности дальнейшего продления срока конкурсного производства на момент рассмотрения данного вопроса. Выводы судов в обжалуемой части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