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конкурсный управляющий Гасанова Н.В. обратилась в суд с заявлением о взыскании с публичного акционерного общества «Самараэнерго» (далее – общество) не выплаченного фиксированного вознаграждения в размере 981 285 рублей 71 копейка и судебных расходов в размере 54 612 рублей 49 копеек. Определением Арбитражного суда Самарской области от 05.05.2022, оставленным без изменения постановлениями Одиннадцатого арбитражного апелляционного суда от 11.07.2022 и Арбитражного суда Поволжского округа от 04.10.2022, заявление удовлетворено частично, с общества в пользу Гасановой Н.В. взыскано вознаграждение конкурсного управляющего в размере 75 241 рубля 37 копеек и расходы на проведение процедуры конкурсного производства в размере 47 411 рублей 05 копеек. Отказано в удовлетворении остальной части требований.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требований в полном объёме.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20.6 и 59 Федерального закона от 26.10.2002 № 127-ФЗ «О несостоятельности (банкротстве)», исходили из наличия оснований для уменьшения взыскиваемого вознаграждения и необоснованности части заявленных расходов, проведя соответствующие перерасчёты.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Гасановой Наталье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