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 от 19.01.2022. Определением Арбитражного суда Костромской области от 22.04.2022, оставленным без изменения постановлением Второго арбитражного апелляционного суда от 04.07.2022 и постановлением Арбитражного суда Волго-Вятского округа от 03.11.2022,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