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25.05.2022. Определением Арбитражного суда Костромской области от 10.06.2022, оставленным без изменения постановлением Второго арбитражного апелляционного суда от 04.08.2022 и постановлением Арбитражного суда Волго-Вятского округа от 07.11.2022,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