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22.04.2022. Определением Арбитражного суда Костромской области от 19.05.2022, оставленным без изменения постановлением Второго арбитражного апелляционного суда от 13.07.2022 и постановлением Арбитражного суда Волго-Вятского округа от 03.11.2022,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