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19.04.2022 завершена процедура реализации имущества должника, в отношении должника не применены правила об освобождении его от исполнения обязательств перед ООО «Кредит-Коллект». Постановлением Второго арбитражного апелляционного суда от 15.07.2022 определение суда первой инстанции оставлено без изменения. Арбитражный суд Волго-Вятского округа постановлением от 13.10.2022 указанные судебные акты оставил без изменения. Азизов А.Н.о обратился в Судебную коллегию Верховного Суда Российской Федерации с кассационной жалобой на принятые судебные акты в части отказа в освобождении его от дальнейшего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недобросовестного поведения должника, выразившегося в предоставлении при получении кредита заведомо недостоверных сведений о своем финансовом состоянии.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