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19.01.2022. Определением Арбитражного суда Костромской области от 22.04.2022, оставленным без изменения постановлением Второго арбитражного апелляционного суда от 14.07.2022 и постановлением Арбитражного суда Волго-Вятского округа от 03.11.2022,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