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Исследовав и оценив представленные в материалы дела доказательства, руководствуясь положениями гражданского законодательства, регулирующего спорные правоотношения, суды пришли к выводу об отсутствии оснований 2 для удовлетворения иска, исходя из недоказанности истцом факта поставки ответчику товара и его принятия последним. Из содержания судебных актов следует, что суды всесторонне исследовали доказательства по делу, установили необходимые для разрешения спора обстоятельства и дали надлежащую правовую оценку доводам заявителя.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Матухнова Александра Николаевича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