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руководствуясь положениями законодательства, регулирующими спорные правоотношения, исследовав и оценив представленные в материалы 2 дела доказательства, исходили из недоказанности истцом совокупности условий, необходимой для привлечения ответчика к ответственности в виде взыскания убытков.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приведших к судебной ошибке существенного и непреодолимого характера,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«Специализированный застройщик «Синара-Девелопмент»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