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19.01.2022. Определением Арбитражного суда Костромской области от 22.04.2022, оставленным без изменения постановлением Второго арбитражного апелляционного суда от 20.07.2022 и постановлением Арбитражного суда Волго-Вятского округа от 03.11.2022,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