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06.06.2022, оставленным без изменения постановлением Девятого арбитражного апелляционного суда от 22.08.2022 и постановлением Арбитражного суда Московского округа от 07.11.2022, в пересмотре определения от 29.06.2021, которым отклонены требование финансового управляющего о признании сделки должника недействительной, отказано. В кассационной жалобе общество просит об отмене судебных актов об отказе в пересмотре определения, ссылаясь на неправильную применительно к существу спора оценку заявленного обстоятельства.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Определение от 29.06.2021 сделка проверялась на наличие злоупотребления правом, заявленного финансовым управляющим в качестве основания недействительности, и суды не признали таковой в связи с недоказанностью условий. Спорное обстоятельство попадает под определение несвоевременно представленного в обоснование заявления доказательства, поэтому признано не влияющим на существо судебного акта в силу пункта 1 части 2 статьи 311 Арбитражного процессуального кодекса Российской Федерации. Иная позиция общества в отношении заявленного обстоятельства не создает основания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«ГЛК ФИНАНС»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