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законодательства, регулирующими спорные правоотношения, установив наличие на стороне заявителя (подрядчик) 2 неосновательного обогащения вследствие ошибочного перечисления заказчиком спорных денежных средств, признав подтвержденным факт выполнения подрядчиком работ и определив их стоимость с учетом согласованного в договоре порядка, принимая во внимание произведенную заказчиком частичную оплату, суды удовлетворили первоначальный иск в полном объеме и встречный иск в части.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Сорокиной Валентины Валерьевны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