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спорного договора и действия 2 сторон по его исполнению, руководствуясь статьями 8, 11, 12, 309, 310, 450.1, 453, 702, 711, 758, 762 Гражданского кодекса Российской Федерации, суды не установили оснований для удовлетворения иска. Приведенные в кассационной жалобе доводы сводятся к изложению обстоятельств дела, которые были предметом исследования судов, получили правовую оценку и мотивированно отклонены, не опровергают выводы судов, не подтверждают существенных нарушений судами норм материального и (или)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«ПРО КРЫМ ГРУПП»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