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330, 393, 395, 746, 753, 1102, 1107 Гражданского кодекса Российской Федерации, суды пришли к выводу 2 о наличии оснований для удовлетворения первоначальных исковых требований и отказа в удовлетворении встречного иска, исходя из отсутствия надлежащих доказательств освоения заявителем (генеральный подрядчик) перечисленных заказчиком денежных средств и выполнения работ на искомую сумму в предусмотренный договором срок, признав правомерным односторонний отказ заказчика от исполнения договора, не установив совокупности условий, необходимых для привлечения заказчика к ответственности в виде взыскания убытков и неустойки.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«ВИАСИ»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