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27.01.2023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Северо-Западного округа от 31.10.2022, то на момент обращения заявителя в Верховный Суд Российской Федерации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общество ссылается на неполучение копии постановления суда округа. Между тем, процессуальным законом не предусмотрено исчисление срока на обжалование с момента получения заявителем копии судебного акта. Принимая во внимание, что общество являлось инициатором кассационного обжалования и его представители присутствовали в судебном заседании суда округа, из информации, размещенной в «Картотеке арбитражных дел» в сети «Интернет» следует, что полный текст постановления от 31.10.2022 опубликован в общедоступной базе судебных актов 01.11.2022, заявитель имел реальную возможность в установленный законом срок подготовить и направить жалобу в адрес Верховного Суда Российской Федерации.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Поскольку обществом не приведено объективных причин, препятствующих ему подать кассационную жалобу в установленный законом 3 срок, ходатайство следует оставить без удовлетворения, а кассационную жалобу - возвратить заявителю. Кассационная жалоба подана обществом в электронном виде, в связи с чем бумажный носитель с текстом кассационной жалобы в его адрес не возвращается. Так как платежное поручение от 17.01.2023 № 47 также представлено в электронном виде, вопрос о возврате государственной пошлины из федерального бюджета не может быть разрешен.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«Протис» о восстановлении пропущенного срока подачи кассационной жалобы отказать. Кассационную жалобу общества с ограниченной ответственностью «Протис» на решение Арбитражного суда города Санкт-Петербурга и Ленинградской области от 07.02.2022, постановление Тринадцатого арбитражного апелляционного суда от 07.07.2022 и постановление Арбитражного суда Северо-Западного округа от 31.10.2022 по делу № А56-84915/2021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