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представитель учредителей (участников) должника Солнцев Д.Н. обратился в суд с заявлением обратился в суд с жалобой на бездействие конкурсного управляющего должником Желнина Евгения Петровича, выразившего в не предоставлении возможности для ознакомления с расшифровкой назначения платежа по всем расчётным счетам должника (в том числе валютным) за период с 2013 по 2017 годы, документами по приобретению векселей. Определением Арбитражного суда города Москвы от 20.06.2022, оставленным без изменения постановлениями Девятого арбитражного апелляционного суда от 14.09.2022 и Арбитражного суда Московского округа от 21.11.2022,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129, 143 Федерального закона от 26.10.2002 № 127-ФЗ «О несостоятельности (банкротстве)» и исходили из отсутствия доказательств нарушения конкурсным управляющим требований законодательства о банкротстве, прав и охраняемых законом интересов заявителя и иных кредиторов, препятствий для получения заявителем интересующей его информации посредством ознакомления с материалами дела и (или) отчётом конкурсного управляющего.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(участников) общества с ограниченной ответственностью «СУ-166 Мослифтмонтаж» Солнцеву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