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ФИО2 должник обратился в суд с заявлением об исключении из конкурсной массы квартиры № 36, площадью 168 кв. м., расположенной по адресу: &lt;...&gt; (далее – спорная квартира). Определением Арбитражного суда Ростовской области от 11.05.2022, оставленным без изменения постановлениями Пятнадцатого арбитражного апелляционного суда от 05.08.2022 и Арбитражного суда Северо–Кавказского округа от 29.09.2022, спорная квартира исключена из конкурсной массы. В кассационной жалобе, поданной в Верховный Суд Российской Федерации, заявитель просит отменить названные судебные акты, дело передать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Исключая из конкурсной массы спорную квартиру, суды руководствовались статьей 213.25 Федерального закона от 26.10.2002 № 127-ФЗ «О несостоятельности (банкротстве)», статьей 446 Гражданского процессуального кодекса Российской Федерации и исходили из того, что для гражданина – должника и членов его семьи данное помещение является единственным пригодным для постоянного проживания жильем, не установив признаков злоупотребления правом.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"Югорское коллекторское агентство" (подробнее) Иные лица: СОАУ НП "сибирская гильдия антикризисных управляющих" (подробнее) УФНС РФпо РО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