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Завьялов Андрей Сергеевич обратился в суд с ходатайством об утверждении Положения о порядке, условиях и сроках реализации имущества должника – возвращенной в конкурсную массу квартиры 54 в доме 5 по улице Юлиуса Фучика в Екатеринбурге, площадью 85,65 кв.м. (далее – спорная квартира). Должник обратился в суд с заявлением об исключении спорной квартиры из конкурсной массы как жилого помещения, единственно пригодного для постоянного проживания должника, его супруги Гареевой Ю.Ф. и двух несовершеннолетних детей. Определением Арбитражного суда Свердловской области от 29.04.2022 в удовлетворении заявления должника отказано, сохранён исполнительский иммунитет за квартирой, расположенной по адресу: г. Екатеринбург, ул. Московская, д. 229, кв. 15. (далее – квартира 15); удовлетворено ходатайство финансового управляющего. Постановлением Семнадцатого арбитражного апелляционного суда от 27.07.2022 данное определение отменено. Спорная квартира исключена из конкурсной массы, исполнительский иммунитет перенесён с квартиры 15 на спорную квартиру; в удовлетворении ходатайства финансового управляющего отказано. Постановлением Арбитражного суда Уральского округа от 03.10.2022 отменено постановление апелляционного суда от 27.07.2022, определение суда первой инстанции от 29.04.2022 оставлено в силе. 2 В кассационной жалобе, поданной в Верховный Суд Российской Федерации, заявитель просит отменить постановление суда округа,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силе определение суда первой инстанции, суд округа, руководствуясь статьями 1, 10 Гражданского кодекса Российской Федерации, статьёй 446 Гражданского процессуального кодекса Российской Федерации, статьями 213.25, 213.26 Федерального закона от 26.10.2002 № 127-ФЗ «О несостоятельности (банкротстве)», исходил из того, что спорная квартира не обладает квалифицирующими признаками единственного жилого помещения, пригодного для проживания должника и членов его семьи ввиду наличия у должника и его супруги, совершающих действия по сокрытию имущества, иных жилых помещений.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Гареевой Юлии Фахриттиновне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