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Иризов Аркадий Зубанилович обратился в суд с заявлением о признании недействительными сделками трудового договора от 21.06.2017 № 42 и от 21.06.2017 приказа № 42 о приеме работника на работу, подписанные между Должником и Касеновым С., в части установления размера оклада, превышающего 46 000 рублей; применении последствий недействительности сделок. Определением Арбитражного суда Московской области от 21.03.2022 в удовлетворении заявления отказано. Постановлением Десятого арбитражного апелляционного суда от 14.06.2022, оставленным без изменения постановлением Арбитражного суда Московского округа от 28.09.2022,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статьёй 69 Арбитражного процессуального кодекса Российской Федерации, пунктом 2 статьи 61.2 Федерального закона от 26.10.2002 № 127-ФЗ «О несостоятельности (банкротстве)», статьями 129, 132, 135 Трудового кодекса Российской Федерации, исходили из доказанности совокупности условий для признания недействительными оспариваемых подозрительных сделок в части повышения должностного оклада, заключенных после принятия заявления о признании должника банкротом и направленных на причинение имущественного вреда кредиторам в результате необоснованного повышения размера оплаты труда заявителю (коммерческому директору) при неподтвержденных фактах совершения им исключительных действий, подлежащих особому материальному поощрению.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Касенову Серику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