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«Компания Соловки» (далее – истец) обратилось в Арбитражный суд Архангельской области с иском к публичному акционерному обществу «Сбербанк России» (далее – ответчик) об отмене решения о переводе кредитного договора от 16.06.2020 № 8637C9M4UBNRGQ0AQ0QZ3F (далее – договор) на период погашения и возложении на ответчика обязанности списать задолженность (включая проценты, начисленные и перенесенные в основной долг) по названному договору, с учетом уточнения требований в порядке статьи 49 Арбитражного процессуального кодекса Российской Федерации. 2 К участию в деле в качестве третьих лиц, не заявляющих самостоятельные требования, привлечены Министерство экономического развития Российской Федерации, Федеральная налоговая служба, Государственная корпорация развития ВЭБ.РФ, государственное учреждение - Пенсионный фонд Российской Федерации. Решением Арбитражного суда Архангельской области от 01.03.2022, оставленным без изменения постановлением Четырнадцатого арбитражного апелляционного суда от 04.05.2022, истцу отказано в удовлетворении заявленных требований. Арбитражный суд Северо-Западного округа постановлением от 23.08.2022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12.12.2022 были истребованы материалы дела из Арбитражного суда Архангельской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в том числе относительно численности сотрудников истца - 23 работника, которая была учтена ответчиком при заключении договора, проанализировав условия договора и дополнительных соглашений к нему, руководствуясь Правилами предоставления субсидий из федерального бюджета российским кредитным организациям на возмещение недополученных ими доходов по кредитам, 3 выданным в 2020 году юридическим лицам и индивидуальным предпринимателям на возобновление деятельности, утвержденными постановлением Правительства Российской Федерации от 16.05.2020 № 696, суды пришли к выводу об отсутствии оснований для удовлетворения заявленных требований.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применительно к установленным обстоятельствам, связанным с исходной численностью сотрудников истца, которая была учтена при предоставлении истцу кредита и которую истец должен сохранять в установленных пределах в целях сохранения права на списание кредитной задолженности за счет государственного субсидирования.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истца, изложенные в кассационной жалобе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