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суд с заявлением об исключении из конкурсной массы единственного пригодного для проживания жилого помещения. Определением Арбитражного суда Свердловской области от 23.10.2019 в удовлетворении требования ФИО2 отказано. Постановлением Семнадцатого арбитражного апелляционного суда от 10.02.2020 определение суда первой инстанции оставлено без изменения. Постановлением Арбитражного суда Уральского округа от 29.06.2020 определение и постановление судов первой и апелляционной инстанций отменены, обособленный спор направлен на новое рассмотрение в Арбитражный суд Свердловской области. В кассационной жалобе, поданной в Верховный Суд Российской Федерации, ФИО1 просит отменить постановление суда округа, оставив в силе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Отменяя определение и постановление судов первой и апелляционной инстанций, суд округа указал на необходимость оценки всех доводов участников спора и установления всех обстоятельств, имеющих существенное значение для его правильного разрешения. Оспариваемое ФИО1 постановление суда округа вынесено в пределах предоставленных этому суду полномочий (статьи 286 и 287 Арбитражного процессуального кодекса Российской Федерации). ФИО1 не лишен возможности изложить свои доводы со ссылками на нормы права и имеющиеся в деле доказательства в суде первой инстанции при новом рассмотрении обособленного спора.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АНО АССОЦИАЦИЯ АРБИТРАЖНЫХ УПРАВЛЯЮЩИХ САМОРЕГУЛИРУЕМАЯ ОРГАНИЗАЦИЯ ЦЕНТРАЛЬНОЕ АГЕНТСТВО АРБИТРАЖНЫХ УПРАВЛЯЮЩИХ (подробнее) Инспекция Федеральной налоговой службы по Кировскому району г. Екатеринбурга (подробнее) ПАО Сбербанк России (подробнее) Иные лица: АДМИНИСТРАЦИЯ ГОРОДА ЕКАТЕРИНБУРГА (подробнее) ИП Полихов Виталий Олегович (подробнее) МИФНС №31 по Свердловской области (подробнее) ФС ГР кадастра и картографии Росреестр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