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общество,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обществом доказательства в обоснование требования о взыскании судебных расходов, руководствуясь статьями 110, 112 АПК РФ, разъяснениями, изложенными в информационном письме Высшего Арбитражного Суда Российской Федерации от 05.12.2007 2 № 121 «Обзор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установив, что в период рассмотрения спора представитель общества являлся его штатным работником (начальником юридического отдела), суды пришли к выводу, что заявленная сумма не является судебными издержками, распределяемыми в соответствии со статьей 110 АПК РФ, и отказали в удовлетворении заявления общества.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«Современные отделочные материалы»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