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08.04.2022, оставленным без изменения постановлением Второго арбитражного апелляционного суда от 15.06.2022 и постановлением Арбитражного суда Волго-Вятского округа от 28.10.2022,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