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Москвы (далее – Правительство) обратилось в Арбитражный суд города Москвы с исковым заявлением к обществу с ограниченной ответственностью «ВИС-СК» (далее – Общества) о взыскании 10 026 275 рублей 99 копеек задолженности в соответствии с актом о результатах реализации инвестиционного проекта. Решением Арбитражного суда города Москвы от 05.03.2022, оставленным без изменения постановлением Девятого арбитражного апелляционного суда от 26.05.2022 и постановлением Арбитражного суда Московского округа от 21.09.2022,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материально-правовым интересом в процессе по делу № А40-57851/2020 являлся именно раздел результата инвестиционной деятельности – подписание акта в части распределения жилой площади и оформление имущественных прав на такое имущество, в связи с чем удовлетворение требований о взыскании задолженности неправомерно. Кроме того, судами необоснованно не применены последствия пропуска срока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17.12.1997 между Префектурой Западного административного округа города Москвы (далее – Префектура), Государственным унитарным предприятием города Москвы «Специальное предприятие при Правительстве Москвы» (заказчик-застройщик) и обществом с ограниченной ответственностью «Научно-производственная фирма «ВИС» (далее – Фирма; инвестор) заключен контракт № 1044 (регистрационный номер 13000563-5701-0081-00000-97) в редакции соглашений о внесении изменений от 15.05.2000, от 29.05.2002, дополнительных соглашений от 24.07.2003 № 1, от 02.08.2006, от 07.02.2008, предметом которого является реализация инвестиционного проекта строительства жилищно-гаражного комплекса над защитным сооружением гражданской обороны типа «Л» на площадке по адресу: &lt;...&gt; (западный административный округ). Соглашением об уступке прав и обязанностей по контракту от 19.11.1998 Фирма уступила права и обязанности Обществу (инвестор). Дополнительным соглашением от 24.07.2003 № 1 к контракту Префектура заменена на Правительство. Согласно пункту 2.2 контракта (в редакции дополнительного соглашения от 07.02.2008) инвестор обязуется за счет собственных, заемных и привлеченных средств произвести новое строительство объекта общей площадью 49,47 тыс. кв. м, в том числе: общей жилой площадью 33.6 тыс. кв. м, общей нежилой площадью 837.25 тыс. кв. м, площадью гаража-стоянки 14.4 тыс. кв. м. Объект построен и введен в эксплуатацию 10.04.2008 (разрешение Мосгосстройнадзора на ввод объекта в эксплуатацию № НШ7183000-000726); строению присвоен адрес: &lt;...&gt; д, 20. Согласно статьи 3 контракта (в редакции дополнительного соглашения от 24.07.2003 № 1) соотношение раздела недвижимого имущества в части жилой площади по итогам реализации контракта устанавливается между сторонами следующим образом: - 5% общей жилой площади объекта – Департаменту жилищной политики и жилищного фонда города Москвы для передачи, в том числе: - 3% - Главному управлению ПО и ЧС Москвы для сотрудников, являющихся очередниками города Москвы, на улучшение жилищных условий; - 2% - Министерству Российской Федерации по делам гражданской обороны, чрезвычайных ситуаций и ликвидации последствий стихийных бедствий для сотрудников, являющихся очередниками города Москвы. Доля инвестора - 95% общей жилой площади при условии перечисления Правительству денежного эквивалента доли города. Сторонами подписан протокол распределения долей жилой площади объекта от 23.04.2008 № ППР-1. Пункт 3.2 статьи 3 контракта установлено, что конкретное недвижимое имущество, подлежащее передаче в собственность сторон по итогам реализации контракта, определяется на основании акта о результатах реализации инвестиционного проекта, подписываемого сторонами. Вступившим в законную силу решением Арбитражного суда города Москвы от 11.12.2020 по делу № А40-57851/2020 на Общество возложена обязанность подписать акт о результатах частичной реализации инвестиционного проекта согласно инвестиционному контракту от 17.12.1997 № 1044 в части распределения жилой площади жилищно-гаражного комплекса над защитным сооружением гражданской обороны типа «А» по адресу: &lt;...&gt; в редакции, определенной судом (с учетом определения от 31.05.2021 об исправлении опечатки). В пункте 6 утвержденной судом редакции акта установлено наличие задолженности инвестора перед Правительством по общей жилой площади объекта в размере 2,3 кв. м в натуральных показателях или в денежном эквиваленте - 637 643 руб. 79 коп. В пункте 7.2 утвержденной судом редакции акта установлено наличие задолженности инвестора перед Правительством по общей нежилой площади объекта в размере 87,5 кв. м в натуральных показателях или в денежном эквиваленте 9 388 632 руб. 20 коп. Таким образом, общий размер задолженности Общества составил 10 026 275 руб. 99 коп. Вышеуказанные обстоятельства послужили основанием для обращения Правительства в арбитражный суд с настоящим иском. Исследовав и оценив по правилам статьи 71 АПК РФ представленные доказательства, руководствуясь статьями 196 , 195 , 199 , 200 , 309 , 310 , 393 Гражданского кодекса Российской Федерации, статьями 1 , 48 , 49 , 51 Градостроительного кодекса Российской Федерации, разъяснениями, изложенными в пункте 26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правомерно исходя из того, что согласно утвержденной судом в рамках дела № А40-57851/2020 редакции акта за недополученную площадь инвестор обязан заплатить в бюджет города Москвы 10 026 275 руб. 99 коп. Отклоняя заявление Общества о пропуске срока исковой давности, судебные инстанции указали, что оформление имущественных прав сторон по результатам реализации инвестиционного проекта производится в установленном порядке после сдачи объекта в эксплуатацию и выполнения обязательств по контракту на основании акта о результатах реализации инвестиционного проекта (пункт 3.6 статьи 3 контракта). Между тем о нарушении своего права истец узнал только после утверждения акта о результатах частичной реализации инвестиционного проекта решением Арбитражного суда города Москвы от 11.12.2020 по делу № А4057851/2020, которое уступило в законную силу 18.02.2021, и именно с указанной даты подлежит исчислению срок исковой давности.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«ВИС-СК»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Высший исполнительный орган государственной власти города Москвы-Правительство Москвы (подробнее) Ответчики: ООО "ВИС - СК"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