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12.05.2022 в удовлетворении заявления отказано. Девятый арбитражный апелляционный суд постановлением от 05.07.2022 отменил определение от 12.05.2022 в части и включил в третью очередь реестра требования в размере 9 110 087 рублей 71 копейки основного долга, 50 000 рублей судебных расходов и отдельно 1 671 185 рублей 91 копейки процентов за пользование чужими денежными средствами. Арбитражный суд Московского округа постановлением от 25.10.2022 постановление апелляционного суда от 05.07.2022 оставил без изменения. В кассационных жалобах Котлов В.В. и Зенищев Ю.Ю. просят об отмене судебных актов апелляционного и окружного судов, ссылаясь на неосновательную отмену определения и нарушение правил о доказывании.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Апелляционный суд признал требование кредитора обоснованным как подтвержденное решением суда общей юрисдикции и соответствующее статьям 71, 100 Федерального закона от 26.10.2002 № 127-ФЗ «О несостоятельности (банкротстве)». Доводы жалоб противоречат статье 13 Гражданского процессуального кодекса Российской Федерации, 69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Котлову В.В. и финансовому управляющему Зенищеву Ю.Ю.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