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29.12.2021, оставленным без изменения постановлением Семнадцатого арбитражного апелляционного суда от 19.04.2022 и постановлением Арбитражного суда Уральского округа от 18.07.2022, в удовлетворении заявления отказано. В кассационной жалобе ФИО1 просит об отмене судебных актов вследствие неправильной оценки обстоятельств спора и представленных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Представленные кредитором доказательства наличия заемного обязательства должника признаны судами не отвечающими критериям статей 71 , 100 Федерального закона от 26.10.2002 № 127-ФЗ «О несостоятельности (банкротстве)» и пункту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для установления основанного на них требования в реестре должника. Вопросы доказывания и оценки доказательств, касающихся финансовых возможностей кредитора и расходования заемных денежных средств, с которыми связаны доводы жалобы,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ИНСПЕКЦИЯ ФЕДЕРАЛЬНОЙ НАЛОГОВОЙ СЛУЖБЫ ПО МОТОВИЛИХИНСКОМУ РАЙОНУ Г. ПЕРМИ (подробнее) Инспекция Федеральной налоговой службы по Свердловскому району г. Перми (подробнее) ООО "ПЕРМЬ ИНВЕНТАРИЗАЦИЯ" (подробнее) ООО "УПРАВЛЯЮЩАЯ КОМПАНИЯ "КАЧЕСТВО ЖИЗНИ"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