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02.06.2022, оставленным без изменения постановлением Десятого арбитражного апелляционного суда от 04.08.2022 и постановлением Арбитражного суда Московского округа от 01.11.2022, в удовлетворении заявления отказано. В кассационной жалобе Гончар М.В. просит об отмене судебных актов, ссылаясь на отсутствие надлежащей оценки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несоблюдение заявителем процессуального порядка для исключения требования из реестра, поэтому правомерно отклонили заявление.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 Марине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