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января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Омской области от 21.04.2022, оставленным без изменения постановлением Восьмого арбитражного апелляционного суда от 08.07.2022 и постановлением Арбитражного суда Западно-Сибирского округа от 20.09.2022, в удовлетворении заявления отказано. В кассационных жалобах Суслов А.В. просит о пересмотре судебных актов, ссылаясь на отсутствие оценки представленных доказательств, нарушение статей 16, 69 Арбитражного процессуального кодекса Российской Федерации, статей 1, 10, 15 Гражданского кодекса Российской Федерации, Трушкин В.Г – на необходимость прекращения производства по заявлению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2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 не усматривается. Суды установили отсутствие правового основания для взыскания спорной суммы с должника в качестве убытков. Рассмотрение заявления по существу исключает прекращение по нему производства.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Суслову Алексею Владимировичу и Трушкину Валерию Геннадьевичу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