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15.03.2022, оставленным без изменения постановлением Второго арбитражного апелляционного суда от 12.07.2022 и постановлением Арбитражного суда Волго-Вятского округа от 24.10.2022, в удовлетворении заявления отказано. В кассационной жалобе Соколов Н.М. просит об отмене судебных актов, ссылаясь на нарушения при публикации сведений о торгах и выставленном на продажу имуществе, повлекшие уменьшение количества участников и продажной цены имущества, неосновательное отклонение заявленных ходатайств.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существенных нарушений, повлиявших на результат торгов, поэтому отклонили заявление в силу статей 110, 111, 139, 213.25, 213.26 Федерального закона от 26.10.2002 N 127-ФЗ «О несостоятельности (банкротстве)», статьи 449 Гражданского кодекса Российской Федерации. Заявленные должником ходатайства рассмотрены в соответствии со статьей 159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