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заявитель обратился в суд с заявлением о включении в реестр требований кредиторов должника (далее – реестр) задолженности по выплате действительной стоимости доли в размере 115 828 000 рублей; долга по договору займа в размере 15 000 000 рублей; процентов по займу в размере 525 610 рублей 45 копеек. Определением Арбитражного суда Приморского края от 16.03.2022, оставленным без изменения постановлениями Пятого арбитражного апелляционного суда от 15.08.2022 и Арбитражного суда Дальневосточного округа от 19.10.2022, требования Иванца А.А. в размере 15 000 000 рублей основного долга и 445 273 рубля 98 копеек процентов признаны обоснованными и подлежащими удовлетворению после погашения требований, указанных в пункте 4 статьи 142 Федерального закона от 26.10.2002 № 127-ФЗ «О несостоятельности (банкротстве)» (далее – Закон о банкротстве), но приоритетно по отношению к требованиям лиц, получающих имущество должника по правилам пункта 1 статьи 148 Закона о банкротстве и пункта 8 статьи 63 Гражданского кодекса Российской 3 А51-13573/2020 Федерации 2 (далее – ГК РФ) (в очерёдности, предшествующей распределению ликвидационной квоты должника); в удовлетворении остальной части заявления отказано. В кассационной жалобе, поданной в Верховный Суд Российской Федерации, заявитель просит отменить названные судебные акты, заявленные требования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суды, руководствуясь статьями 71, 100, 142 Закона о банкротстве, позицией, изложенной в пунктах 3.1, 3.2 Обзора судебной практики разрешения споров, связанных с установлением в процедурах банкротства требований контролирующих должника и аффинированных с ним лиц, утвержденного Президиумом Верховного Суда Российской Федерации 29.02.2020, исходили из того, что посредством займа должник, имеющий признаки имущественного кризиса, фактически получал от заинтересованного лица компенсационное финансирование, в связи с чем пришли к выводу о необходимости понижения очерёдности удовлетворения заявленного требования. Отказывая во включении в реестр требования о выплате действительной стоимости доли, суды исходили из того, что оно является обязательством, вытекающем из факта участия заявителя в обществе и не подлежит включению в реестр.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Доводы, изложенные в настоящей жалобе, были предметом рассмотрения судов, получили надлежащую правовую оценку, отклонены как несостоятельные с подробным изложением мотивов отклонения.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Иванцу Андрею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