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«Славянка-Таврида» обратилось в Арбитражный суд Пензенской области с исковым заявлением к ООО «КрымИнвестСтрой» о взыскании 1 171 250 рублей задолженности, 543 460 рублей неустойки за период с 16.12.2019 по 23.03.2021 с продолжением ее начисления по день фактической уплаты долга, 30 000 рублей расходов на оплату юридических услуг. Решением Арбитражного суда Пензенской области от 27.04.2022 в удовлетворении требований отказано. Постановлением Одиннадцатого арбитражного апелляционного суда от 20.07.2022, оставленным без изменения постановлением Арбитражного суда Поволжского округа от 13.10.2022, решение от 27.04.2022 отменено, иск удовлетворен.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неправильное применение статей 779 , 781 Гражданского кодекса Российской Федерации (далее – Гражданский кодекс). По мнению ООО «КрымИнвестСтрой», оказание услуг не подтверждено надлежащими доказательствами.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сторонами заключен договор оказания услуг от 01.10.2019 № 01-10/19, по условиям которого истец (исполнитель) обязался по заданию ответчика (заказчика) оказывать последнему услуги спецтехникой (автотранспортом) на объектах заказчика, а ответчик обязался принимать и оплачивать услуги. Согласно пункту 1.2 договора транспортные услуги предоставляются собственными или привлеченными средствами исполнителя. Пунктом 2.1 договора установлено, что транспортные услуги оказываются в соответствии с заявками заказчика, подаваемыми как в письменном, так и в устном порядке, а также по электронной почте. В силу пункта 2.7 договора по итогам оказания услуг исполнитель передает заказчику акты выполненных работ, счета-фактуры, счета на оплату. Стоимость услуг исполнителя согласована сторонами в размере 2500 рублей за один час. В пункте 7.2 договора предусмотрена ответственность заказчика за просрочку оплаты услуг более чем на 10 календарных дней в виде уплаты пени в размере 0,1% от просроченной суммы за каждый день просрочки. Договор заключен на срок до 31.12.2019 (пункт 8.2). Ссылаясь на наличие задолженности за оказанные услуги, ООО «Славянка-Таврида» обратилось в арбитражный суд с настоящим иском. Отказывая в удовлетворении требований, суд первой инстанции исходил из того, что по общему правилу наличие акта приемки работ, подписанного заказчиком, не лишает заказчика права представлять суду возражения по объему и стоимости работ (услуг), надлежащих доказательства, подтверждающие факт оказания ответчику транспортных услуг и их объем, истец не представил. Повторно исследовав и оценив по правилам статьи 71 АПК РФ представленные доказательства, руководствуясь статьями 329 , 330 , 779 , 781 Гражданского кодекса Российской Федерации, разъяснениями, изложенными в пункте 65 Постановления Пленума Верховного Суда Российской Федерации от 24.03.2016 №7»О примени судами некоторых положений Гражданского кодекса Российской федерации об ответственности за нарушение обязательств», суд апелляционной инстанции, с выводами которого согласился суд округа, отменил решение суда первой инстанции и удовлетворил иск, признав подтвержденным факт оказания услуг без внесения соответствующей платы. Апелляционный суд исходил из того, что согласно условиям договора конечный объем и стоимость определяются актом приемки оказанных услуг; основанием для оплаты является подписанный сторонами акт приемки; из первичных документов заказчику передается: акт выполненных работ, счет фактура, счет на оплату. Каких-либо иных оправдательных документов договор не предусматривает. Само по себе отсутствие у истца иных документов не является основанием для отказа в удовлетворении исковых требований с учетом того, что акт от 31.10.2019 № 147, подписан со стороны ответчика без каких-либо возражений и замечаний и скреплен печатью общества. О фальсификации доказательств в порядке статьи 161 АПК РФ не заявлено. Довод ответчика о том, что акт от 31.10.2019 №147 подписан в качестве образца, ошибочно, мотивированно отклонен судом апелляционной инстанции. Возмещая судебные расходы апелляционный суд руководствовался статьями 106 , 110 АПК РФ и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«КрымИнвестСтрой»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"Славянка-Таврида" (подробнее) Представитель Жирнова Мария Александровна (подробнее) Ответчики: ООО "Крыминвестстрой" (подробнее) Иные лица: АО "Балаклавское РУ" (подробнее) АО "Балаклавское рудоуправление им.А.М. Горького" (подробнее) ООО "РЕМОНТНО-ТРАНСПОРТНАЯ ГРУППА "ЦЕНТР" (подробнее) ООО "РТГ Центр" (подробнее) ООО "ТЕРМИНАЛ-1" (подробнее) ООО "ЮГПРОМСЫРЬЕ"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