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Отказывая в удовлетворении заявленных требований, суды трех инстанций, руководствуясь положениями статей 44 , 45 , 46, 47 , 69 , 70 , 100 , 101 , 101.3 Налогового кодекса Российской Федерации, разъяснениями, изложенными в постановлении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пришли к выводу о том, что все ненормативные правовые акты направлены заявителю в пределах установленных законом сроков, рассчитываемых с даты вступления в силу решения по результатам выездной налоговой проверки, являющегося основанием для совершения налоговым органом последующих действий по взысканию задолженности и вынесению оспариваемого решения о взыскании. Вместе с тем суды указали на полную оплату обществом задолженности по решению. Доводы, изложенные в кассационной жалобе, основаны на ошибочном применении положений законодательства к установленным фактическим обстоятельствам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«(А.А.) Л.ДИЗАЙН»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ООО "А.А. Л.ДИЗАЙН" (подробнее) Ответчики: Инспекция Министерства Российской Федерации по налогам и сборам №22 по Юго-Восточному административному округу г. Москвы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