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Вопреки доводам жалобы постановление суда округа основано на правильном применении норм материального и процессуального права, изложенные в нем выводы сформулированы по результатам полного и всестороннего исследования юридически значимых обстоятельств дела и надлежащей правой оценки представленных доказательств. Обжалуемое постановление принято в пределах полномочий, предоставленных суду кассационной инстанции (статьи 286 , 287 Арбитражного процессуального кодекса Российской Федерации).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агентству воздушного транспорта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ФАВТ (подробнее) Ответчики: ООО "Нордтрансстрой"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