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ФИО1 в Арбитражный суд Московской области обратилась Межрайонная ИФНС России № 16 по Московской области с заявлением о включении в реестр требований кредиторов должника задолженности в размере 131 628 рублей 99 копеек. Определением Арбитражного суда Московской области от 12.04.2022 требование уполномоченного органа по страховым взносам на сумму 41 894 рублей 48 копеек включено во вторую очередь реестра требований кредиторов должника, требование в сумме 89 734 рублей 51 копейки, в числе которых 74 119 рублей недоимки и 15 615 рублей 51 копейка пени, включено в третью очередь реестра требований кредиторов должника. Постановлением Десятого арбитражного апелляционного суда от 04.08.2022 определение суда первой инстанции оставлено без изменения. Арбитражный суд Московского округа постановлением от 01.11.2022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Проверив обоснованность и размер требования кредитора, руководствуясь статьями 71 , 100 , 213.8 Федерального закона от 26.10.2002 № 127-ФЗ «О несостоятельности (банкротстве)», статьями 44 , 45 , 48, 57 , 69 Налогового кодекса Российской Федерации, установив, что уполномоченным органом представлены доказательства возникновения задолженности по уплате обязательных платежей в бюджет Российской Федерации (страховых взносов), налога, взимаемого с налогоплательщиков, выбравших в качестве объекта налогообложения доходы, налога на имущество, транспортного налога, приняты меры к их взысканию, срок для принудительного взыскания не истек, доказательств погашения задолженности по налогам и пени не представлено, суды пришли к выводу о наличии оснований для удовлетворения заявленного требования, признав срок исковой давности не пропущенным.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"Московская саморегулируемая организация профессиональных арбитражный управляющих" (подробнее) Межрайонная ИФНС России №16 по Московской области (подробнее) МИФНС №16 по МО (подробнее) ООО "Жилспект" (подробнее) ООО "Жилспектр" (подробнее) ПАО Московский филиал "Совкомбанк" (подробнее) ПАО "Совкомбанк" (подробнее) ф/у Варнавский Марк Евгеньевич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