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06.05.2022, оставленным без изменения постановлением Второго арбитражного апелляционного суда от 14.07.2022 и постановлением Арбитражного суда Волго-Вятского округа от 02.11.2022,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