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Курбангалиевой Ф.Ф. в Арбитражный суд Челябинской области обратилась должник с заявлением об исключении из конкурсной массы страховой пенсии по старости в полном объеме с момента введения процедуры реализации имущества и до ее завершения. Определением Арбитражного суда Челябинской области от 18.05.2022, оставленным без изменения постановлением Восемнадцатого арбитражного апелляционного суда от 28.07.2022 и постановлением Арбитражного суда Уральского округа от 11.10.2022, в удовлетворении заявления должника отказано. Курбангалиева Ф.Ф.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должник является получателем страховой пенсии по старости и учитывая, что им документально не обоснована необходимость в дополнительном исключении денежных средств из конкурсной массы, руководствуясь статьей 213.25 Федерального закона от 26.10.2002 № 127-ФЗ «О несостоятельности (банкротстве)», суды пришли к выводу об отсутствии оснований для удовлетворения заявления.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