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Костромской области от 20.05.2022, оставленным без изменения постановлением Второго арбитражного апелляционного суда от 13.07.2022 и постановлением Арбитражного суда Волго-Вятского округа от 25.10.2022, в удовлетворении заявления Соколова Н.М. об исправлении описки, допущенной в определении Арбитражного суда Костромской области от 22.04.2022, отказано. В кассационной жалобе Соколов Н.М. просит отменить судебные акты как незаконные.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Изменение существа мотивировочной части определения, требуемое Соколовым Н.М., не попадает под случаи применения статьи 179 Арбитражного процессуального кодекса Российской Федерации, поэтому заявление правомерно отклонено.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