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03.08.2022, оставленным без изменения постановлением Арбитражного суда Волго- Вятского округа от 24.10.2022,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